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4B" w:rsidRPr="00B3594B" w:rsidRDefault="00B3594B" w:rsidP="00B3594B">
      <w:pPr>
        <w:pStyle w:val="a3"/>
        <w:ind w:firstLine="709"/>
        <w:rPr>
          <w:noProof/>
          <w:sz w:val="28"/>
        </w:rPr>
      </w:pPr>
      <w:r w:rsidRPr="00B3594B">
        <w:rPr>
          <w:noProof/>
          <w:sz w:val="28"/>
        </w:rPr>
        <w:t>УДК 629.1</w:t>
      </w:r>
    </w:p>
    <w:p w:rsidR="00B3594B" w:rsidRPr="00B3594B" w:rsidRDefault="00B3594B" w:rsidP="00B3594B">
      <w:pPr>
        <w:pStyle w:val="a3"/>
        <w:ind w:firstLine="709"/>
        <w:rPr>
          <w:noProof/>
          <w:sz w:val="28"/>
        </w:rPr>
      </w:pPr>
    </w:p>
    <w:p w:rsidR="00B3594B" w:rsidRPr="00CF2E49" w:rsidRDefault="00CF2E49" w:rsidP="00B3594B">
      <w:pPr>
        <w:pStyle w:val="a3"/>
        <w:ind w:firstLine="709"/>
        <w:jc w:val="center"/>
        <w:rPr>
          <w:b/>
          <w:noProof/>
          <w:sz w:val="28"/>
        </w:rPr>
      </w:pPr>
      <w:r w:rsidRPr="00CF2E49">
        <w:rPr>
          <w:b/>
          <w:noProof/>
          <w:sz w:val="28"/>
        </w:rPr>
        <w:t>ДОСЛІДЖЕННЯ НАДІЙНОСТІ МІСЬКИХ АВТОБУСІВ В ПРОЦЕСІ ЕКСПЛУАТАЦІЇ</w:t>
      </w:r>
    </w:p>
    <w:p w:rsidR="00B3594B" w:rsidRPr="00B3594B" w:rsidRDefault="00B3594B" w:rsidP="00B3594B">
      <w:pPr>
        <w:pStyle w:val="a3"/>
        <w:ind w:firstLine="709"/>
        <w:jc w:val="center"/>
        <w:rPr>
          <w:noProof/>
          <w:sz w:val="28"/>
        </w:rPr>
      </w:pPr>
    </w:p>
    <w:p w:rsidR="00B3594B" w:rsidRPr="00B3594B" w:rsidRDefault="00B3594B" w:rsidP="00B3594B">
      <w:pPr>
        <w:pStyle w:val="a3"/>
        <w:ind w:firstLine="709"/>
        <w:jc w:val="center"/>
        <w:rPr>
          <w:noProof/>
          <w:sz w:val="28"/>
        </w:rPr>
      </w:pPr>
      <w:r w:rsidRPr="00B3594B">
        <w:rPr>
          <w:b/>
          <w:noProof/>
          <w:sz w:val="28"/>
        </w:rPr>
        <w:t>Біліченко Віктор</w:t>
      </w:r>
      <w:r w:rsidRPr="00B3594B">
        <w:rPr>
          <w:noProof/>
          <w:sz w:val="28"/>
        </w:rPr>
        <w:t>, доктор техн. наук., завідувач кафедри Автомобілів та транспортного менеджменту,</w:t>
      </w:r>
    </w:p>
    <w:p w:rsidR="00B3594B" w:rsidRPr="00B3594B" w:rsidRDefault="00B3594B" w:rsidP="00B3594B">
      <w:pPr>
        <w:pStyle w:val="a3"/>
        <w:ind w:firstLine="709"/>
        <w:jc w:val="center"/>
        <w:rPr>
          <w:noProof/>
          <w:sz w:val="28"/>
        </w:rPr>
      </w:pPr>
      <w:r w:rsidRPr="00B3594B">
        <w:rPr>
          <w:b/>
          <w:noProof/>
          <w:sz w:val="28"/>
        </w:rPr>
        <w:t>Коробов Сергій</w:t>
      </w:r>
      <w:r w:rsidRPr="00B3594B">
        <w:rPr>
          <w:noProof/>
          <w:sz w:val="28"/>
        </w:rPr>
        <w:t>, аспірант кафедри Автомобілів та транспортного менеджменту</w:t>
      </w:r>
    </w:p>
    <w:p w:rsidR="00B3594B" w:rsidRPr="00B3594B" w:rsidRDefault="00B3594B" w:rsidP="00B3594B">
      <w:pPr>
        <w:pStyle w:val="a3"/>
        <w:ind w:firstLine="709"/>
        <w:jc w:val="center"/>
        <w:rPr>
          <w:noProof/>
          <w:sz w:val="28"/>
        </w:rPr>
      </w:pPr>
      <w:r w:rsidRPr="00B3594B">
        <w:rPr>
          <w:noProof/>
          <w:sz w:val="28"/>
        </w:rPr>
        <w:t>Вінницький національний технічний університет, Україні</w:t>
      </w:r>
    </w:p>
    <w:p w:rsidR="00B3594B" w:rsidRPr="00B3594B" w:rsidRDefault="00B3594B" w:rsidP="00B3594B">
      <w:pPr>
        <w:pStyle w:val="a3"/>
        <w:ind w:firstLine="709"/>
        <w:jc w:val="center"/>
        <w:rPr>
          <w:noProof/>
          <w:sz w:val="28"/>
        </w:rPr>
      </w:pP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У містах по всьому світі центральні вулиці доступні для руху лише муніципального транспорту</w:t>
      </w:r>
      <w:r w:rsidR="00A15E71">
        <w:rPr>
          <w:rFonts w:ascii="Times New Roman" w:hAnsi="Times New Roman" w:cs="Times New Roman"/>
          <w:noProof/>
          <w:sz w:val="28"/>
          <w:szCs w:val="28"/>
          <w:lang w:val="uk-UA"/>
        </w:rPr>
        <w:t>,</w:t>
      </w:r>
      <w:r w:rsidRPr="00B3594B">
        <w:rPr>
          <w:rFonts w:ascii="Times New Roman" w:hAnsi="Times New Roman" w:cs="Times New Roman"/>
          <w:noProof/>
          <w:sz w:val="28"/>
          <w:szCs w:val="28"/>
          <w:lang w:val="uk-UA"/>
        </w:rPr>
        <w:t xml:space="preserve"> який може перевозити велику кількість пасажирів та у відповідності не потребує місця для паркування та стоянки</w:t>
      </w:r>
      <w:r w:rsidR="00A15E71">
        <w:rPr>
          <w:rFonts w:ascii="Times New Roman" w:hAnsi="Times New Roman" w:cs="Times New Roman"/>
          <w:noProof/>
          <w:sz w:val="28"/>
          <w:szCs w:val="28"/>
          <w:lang w:val="uk-UA"/>
        </w:rPr>
        <w:t>,</w:t>
      </w:r>
      <w:r w:rsidRPr="00B3594B">
        <w:rPr>
          <w:rFonts w:ascii="Times New Roman" w:hAnsi="Times New Roman" w:cs="Times New Roman"/>
          <w:noProof/>
          <w:sz w:val="28"/>
          <w:szCs w:val="28"/>
          <w:lang w:val="uk-UA"/>
        </w:rPr>
        <w:t xml:space="preserve"> що дозволяє зменшити негативний вплив на екологію шлях</w:t>
      </w:r>
      <w:r w:rsidR="006262D8">
        <w:rPr>
          <w:rFonts w:ascii="Times New Roman" w:hAnsi="Times New Roman" w:cs="Times New Roman"/>
          <w:noProof/>
          <w:sz w:val="28"/>
          <w:szCs w:val="28"/>
          <w:lang w:val="uk-UA"/>
        </w:rPr>
        <w:t>ом зниження рівня шкідливих ви</w:t>
      </w:r>
      <w:r w:rsidRPr="00B3594B">
        <w:rPr>
          <w:rFonts w:ascii="Times New Roman" w:hAnsi="Times New Roman" w:cs="Times New Roman"/>
          <w:noProof/>
          <w:sz w:val="28"/>
          <w:szCs w:val="28"/>
          <w:lang w:val="uk-UA"/>
        </w:rPr>
        <w:t>к</w:t>
      </w:r>
      <w:r w:rsidR="006262D8">
        <w:rPr>
          <w:rFonts w:ascii="Times New Roman" w:hAnsi="Times New Roman" w:cs="Times New Roman"/>
          <w:noProof/>
          <w:sz w:val="28"/>
          <w:szCs w:val="28"/>
          <w:lang w:val="uk-UA"/>
        </w:rPr>
        <w:t>ид</w:t>
      </w:r>
      <w:r w:rsidRPr="00B3594B">
        <w:rPr>
          <w:rFonts w:ascii="Times New Roman" w:hAnsi="Times New Roman" w:cs="Times New Roman"/>
          <w:noProof/>
          <w:sz w:val="28"/>
          <w:szCs w:val="28"/>
          <w:lang w:val="uk-UA"/>
        </w:rPr>
        <w:t>ів та знизити рівень завантаженості центральної частини міста.</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Тому при плануванні або удоск</w:t>
      </w:r>
      <w:r w:rsidR="006262D8">
        <w:rPr>
          <w:rFonts w:ascii="Times New Roman" w:hAnsi="Times New Roman" w:cs="Times New Roman"/>
          <w:noProof/>
          <w:sz w:val="28"/>
          <w:szCs w:val="28"/>
          <w:lang w:val="uk-UA"/>
        </w:rPr>
        <w:t>оналені транспортних мереж значн</w:t>
      </w:r>
      <w:r w:rsidRPr="00B3594B">
        <w:rPr>
          <w:rFonts w:ascii="Times New Roman" w:hAnsi="Times New Roman" w:cs="Times New Roman"/>
          <w:noProof/>
          <w:sz w:val="28"/>
          <w:szCs w:val="28"/>
          <w:lang w:val="uk-UA"/>
        </w:rPr>
        <w:t>у увагу приділяють саме муніципальним видам транспорту серед яких і автобуси великої пасажиромісткості.</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 xml:space="preserve">Аналіз експлуатації міських автобусів щодо перевезень пасажирів в місті Вінниця показав досить низьку ефективність їх використання – позапланові простої досягають 30% і більше. Аналогічні дані були отримані й іншими дослідниками. Однією з основних причин такої ситуації є недосконалість системи технічної експлуатації . </w:t>
      </w:r>
    </w:p>
    <w:p w:rsidR="009B446C"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Вирішення за</w:t>
      </w:r>
      <w:r w:rsidR="006262D8">
        <w:rPr>
          <w:rFonts w:ascii="Times New Roman" w:hAnsi="Times New Roman" w:cs="Times New Roman"/>
          <w:noProof/>
          <w:sz w:val="28"/>
          <w:szCs w:val="28"/>
          <w:lang w:val="uk-UA"/>
        </w:rPr>
        <w:t>гальної проблеми щодо ефективності</w:t>
      </w:r>
      <w:r w:rsidRPr="00B3594B">
        <w:rPr>
          <w:rFonts w:ascii="Times New Roman" w:hAnsi="Times New Roman" w:cs="Times New Roman"/>
          <w:noProof/>
          <w:sz w:val="28"/>
          <w:szCs w:val="28"/>
          <w:lang w:val="uk-UA"/>
        </w:rPr>
        <w:t xml:space="preserve"> міських автобусів потребує єдиного підходу до їх обслуговування за фактичним технічним станом. Важливим є те, що на основі встановлення нових залежностей зміни технічного стану агрегатів автобусів від пробігу необхідно розробити новий підхід до управління їх ресурсом шляхом корегування пе</w:t>
      </w:r>
      <w:r w:rsidR="006262D8">
        <w:rPr>
          <w:rFonts w:ascii="Times New Roman" w:hAnsi="Times New Roman" w:cs="Times New Roman"/>
          <w:noProof/>
          <w:sz w:val="28"/>
          <w:szCs w:val="28"/>
          <w:lang w:val="uk-UA"/>
        </w:rPr>
        <w:t>ріодичності ТО, що рекомендують виробники</w:t>
      </w:r>
      <w:r w:rsidRPr="00B3594B">
        <w:rPr>
          <w:rFonts w:ascii="Times New Roman" w:hAnsi="Times New Roman" w:cs="Times New Roman"/>
          <w:noProof/>
          <w:sz w:val="28"/>
          <w:szCs w:val="28"/>
          <w:lang w:val="uk-UA"/>
        </w:rPr>
        <w:t xml:space="preserve">, з урахуванням фактичних умов експлуатації. Це дасть змогу збільшити їх добові пробіги, забезпечити безпеку руху, зменшити простої та собівартість перевезень. Це є актуальним завданням для розвитку системи міських пасажирських перевезень в Україні. </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Зменшення працездатності міських автобусів по мірі інтенсивного використання має два основні прояви – зростання кількості раптових відмов і зниження параметричної надійності, тобто зростання інтенсивності поступових (параметричних) відмов. Розподіл відмов на раптові й параметричні носить досить умовний характер. Чим менше розвинуті засоби контролю технічного стану автобусів, тим більша частина відмов буде проявлятися як раптові. При абсолютній відсутності контролю міських автобусів практично всі відмови будуть раптовими. З економічно-технічним розвитком щодо засобів контролю та аналізу міських автобусів переважаючими будуть ставати поступові, передбачувані, контрольовані відмови, що пов'язані зі зміною технічних параметрів окремих вузлів і автобуса в цілому.</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lastRenderedPageBreak/>
        <w:t>Ефективність технічної експлуатації характеризується: рівнем працездатності автомобілів, що виражений коефіцієнтом готовності (</w:t>
      </w:r>
      <w:r w:rsidRPr="00B3594B">
        <w:rPr>
          <w:rFonts w:ascii="Times New Roman,Italic" w:hAnsi="Times New Roman,Italic" w:cs="Times New Roman,Italic"/>
          <w:i/>
          <w:iCs/>
          <w:noProof/>
          <w:sz w:val="28"/>
          <w:szCs w:val="28"/>
          <w:lang w:val="uk-UA"/>
        </w:rPr>
        <w:t>К</w:t>
      </w:r>
      <w:r w:rsidRPr="00B3594B">
        <w:rPr>
          <w:rFonts w:ascii="Times New Roman" w:hAnsi="Times New Roman" w:cs="Times New Roman"/>
          <w:noProof/>
          <w:sz w:val="18"/>
          <w:szCs w:val="18"/>
          <w:lang w:val="uk-UA"/>
        </w:rPr>
        <w:t>г</w:t>
      </w:r>
      <w:r w:rsidRPr="00B3594B">
        <w:rPr>
          <w:rFonts w:ascii="Times New Roman" w:hAnsi="Times New Roman" w:cs="Times New Roman"/>
          <w:noProof/>
          <w:sz w:val="28"/>
          <w:szCs w:val="28"/>
          <w:lang w:val="uk-UA"/>
        </w:rPr>
        <w:t>); середнім наробітком на відмову; часом відновлення працездатності після відмови; собівартістю машино-години, як мірою витрачених ресурсів; структурою витрат.</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Ефективність може визначатися, з одного боку, відношенням отриманого результату до витрачених ресурсів (рентабельність експлуатації автомобіля), з іншого боку, співвідношенням одержаного результату і максимально можливого (рівень відновлення працездатності автомобіля після капітального</w:t>
      </w:r>
    </w:p>
    <w:p w:rsidR="00B3594B" w:rsidRPr="00B3594B" w:rsidRDefault="00B3594B" w:rsidP="00B3594B">
      <w:pPr>
        <w:autoSpaceDE w:val="0"/>
        <w:autoSpaceDN w:val="0"/>
        <w:adjustRightInd w:val="0"/>
        <w:spacing w:after="0" w:line="240" w:lineRule="auto"/>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 xml:space="preserve">ремонту, </w:t>
      </w:r>
      <w:r w:rsidRPr="00B3594B">
        <w:rPr>
          <w:rFonts w:ascii="Times New Roman,Italic" w:hAnsi="Times New Roman,Italic" w:cs="Times New Roman,Italic"/>
          <w:i/>
          <w:iCs/>
          <w:noProof/>
          <w:sz w:val="28"/>
          <w:szCs w:val="28"/>
          <w:lang w:val="uk-UA"/>
        </w:rPr>
        <w:t>К</w:t>
      </w:r>
      <w:r w:rsidRPr="00B3594B">
        <w:rPr>
          <w:rFonts w:ascii="Times New Roman,Italic" w:hAnsi="Times New Roman,Italic" w:cs="Times New Roman,Italic"/>
          <w:i/>
          <w:iCs/>
          <w:noProof/>
          <w:sz w:val="18"/>
          <w:szCs w:val="18"/>
          <w:lang w:val="uk-UA"/>
        </w:rPr>
        <w:t>г</w:t>
      </w:r>
      <w:r w:rsidRPr="00B3594B">
        <w:rPr>
          <w:rFonts w:ascii="Times New Roman" w:hAnsi="Times New Roman" w:cs="Times New Roman"/>
          <w:noProof/>
          <w:sz w:val="28"/>
          <w:szCs w:val="28"/>
          <w:lang w:val="uk-UA"/>
        </w:rPr>
        <w:t>). Отже, ефективність може виступати в ролі оцінки роботи ТЗ, а також служити цільовою функцією вдосконалення системи ТО і Р.</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Коефіцієнт технічної готовності характеризує ступінь технічної підготовки рухомого складу підприємства для роботи на лінії. Існує певна кількість факторів яка впливає на цей коефіцієнт</w:t>
      </w:r>
      <w:r w:rsidR="006262D8">
        <w:rPr>
          <w:rFonts w:ascii="Times New Roman" w:hAnsi="Times New Roman" w:cs="Times New Roman"/>
          <w:noProof/>
          <w:sz w:val="28"/>
          <w:szCs w:val="28"/>
          <w:lang w:val="uk-UA"/>
        </w:rPr>
        <w:t>,</w:t>
      </w:r>
      <w:r w:rsidRPr="00B3594B">
        <w:rPr>
          <w:rFonts w:ascii="Times New Roman" w:hAnsi="Times New Roman" w:cs="Times New Roman"/>
          <w:noProof/>
          <w:sz w:val="28"/>
          <w:szCs w:val="28"/>
          <w:lang w:val="uk-UA"/>
        </w:rPr>
        <w:t xml:space="preserve"> серед головних слід відзначити:</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 якість проведення технічного обслуговування;</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 зменшення часу проведення технічного обслуговування і ремонту;</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 якість паливо-мастильних матеріалів яків використовуються;</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 рівень майстерності водія;</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 матеріально-технічна база підприємства.</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Першими етапом вирішення задачі підвищення ефективності експлуатації міських автобусів є визначення агрегатів та механізмів які мають найнижчий рівень надійності і як наслідок мають найбільший негативний вплив на коефіцієнт технічної готовності.</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Для вирішення цієї задачі було проведено дослідження експлуатації міських автобусів в місті Вінниця. У місті Вінниця з 2011 року експлуатуються пасажирські автобуси великої пасажиромісткості марки «Богдан-А70110». Достатньо тривалий термін експлуатації цих автобусів забезпечує можливість аналізу їх технічного стану від початку експлуатації до моменту дослідження[1].  Даний аналіз дозволить</w:t>
      </w:r>
      <w:r>
        <w:rPr>
          <w:rFonts w:ascii="Times New Roman" w:hAnsi="Times New Roman" w:cs="Times New Roman"/>
          <w:noProof/>
          <w:sz w:val="28"/>
          <w:szCs w:val="28"/>
          <w:lang w:val="uk-UA"/>
        </w:rPr>
        <w:t xml:space="preserve"> </w:t>
      </w:r>
      <w:r w:rsidRPr="00B3594B">
        <w:rPr>
          <w:rFonts w:ascii="Times New Roman" w:hAnsi="Times New Roman" w:cs="Times New Roman"/>
          <w:noProof/>
          <w:sz w:val="28"/>
          <w:szCs w:val="28"/>
          <w:lang w:val="uk-UA"/>
        </w:rPr>
        <w:t>визначити вузли та агрегати з найнижчим рівнем надійності та розробити методи її підвищення [2].</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Для дослідження було зібрано та опрацьовано наступні дані:</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 періодичність проведення ТО1, яке складає 5000 тис.км;</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 періодичність проведення ТО2, яка складає 20 000 км;</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 добовий пробіг автобуса, який залежить від протяжності маршруту</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та кількості їздок;</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 кількість несправностей по кожному автобусові в розрізі систем що</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розглядаються.</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Для подальшої роботи всі несправності автобусів «Богдан-70110» було розподілено на 5 основних груп</w:t>
      </w:r>
      <w:r>
        <w:rPr>
          <w:rFonts w:ascii="Times New Roman" w:hAnsi="Times New Roman" w:cs="Times New Roman"/>
          <w:noProof/>
          <w:sz w:val="28"/>
          <w:szCs w:val="28"/>
          <w:lang w:val="uk-UA"/>
        </w:rPr>
        <w:t>: 1</w:t>
      </w:r>
      <w:r w:rsidRPr="00B3594B">
        <w:rPr>
          <w:rFonts w:ascii="Times New Roman" w:hAnsi="Times New Roman" w:cs="Times New Roman"/>
          <w:noProof/>
          <w:sz w:val="28"/>
          <w:szCs w:val="28"/>
          <w:lang w:val="uk-UA"/>
        </w:rPr>
        <w:t xml:space="preserve"> – несправності пов’язанні з двигуном та системами які забезпечують його функціонування; 2 – несправності трансмісії( АКПП,кардана передача</w:t>
      </w:r>
      <w:bookmarkStart w:id="0" w:name="_GoBack"/>
      <w:bookmarkEnd w:id="0"/>
      <w:r w:rsidRPr="00B3594B">
        <w:rPr>
          <w:rFonts w:ascii="Times New Roman" w:hAnsi="Times New Roman" w:cs="Times New Roman"/>
          <w:noProof/>
          <w:sz w:val="28"/>
          <w:szCs w:val="28"/>
          <w:lang w:val="uk-UA"/>
        </w:rPr>
        <w:t>,ведучий міст); 3 – несправності підвіски та рульового керування; 4 – несправності гальмівної системи (гальмівного приводу та гальмівного механізму); 5 – несправності в електронній системі (системи управління сигналізацією,</w:t>
      </w:r>
      <w:r>
        <w:rPr>
          <w:rFonts w:ascii="Times New Roman" w:hAnsi="Times New Roman" w:cs="Times New Roman"/>
          <w:noProof/>
          <w:sz w:val="28"/>
          <w:szCs w:val="28"/>
          <w:lang w:val="uk-UA"/>
        </w:rPr>
        <w:t xml:space="preserve"> </w:t>
      </w:r>
      <w:r w:rsidRPr="00B3594B">
        <w:rPr>
          <w:rFonts w:ascii="Times New Roman" w:hAnsi="Times New Roman" w:cs="Times New Roman"/>
          <w:noProof/>
          <w:sz w:val="28"/>
          <w:szCs w:val="28"/>
          <w:lang w:val="uk-UA"/>
        </w:rPr>
        <w:t>освітленням,</w:t>
      </w:r>
      <w:r>
        <w:rPr>
          <w:rFonts w:ascii="Times New Roman" w:hAnsi="Times New Roman" w:cs="Times New Roman"/>
          <w:noProof/>
          <w:sz w:val="28"/>
          <w:szCs w:val="28"/>
          <w:lang w:val="uk-UA"/>
        </w:rPr>
        <w:t xml:space="preserve"> </w:t>
      </w:r>
      <w:r w:rsidRPr="00B3594B">
        <w:rPr>
          <w:rFonts w:ascii="Times New Roman" w:hAnsi="Times New Roman" w:cs="Times New Roman"/>
          <w:noProof/>
          <w:sz w:val="28"/>
          <w:szCs w:val="28"/>
          <w:lang w:val="uk-UA"/>
        </w:rPr>
        <w:t>системою автоматичного управління дверима).</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lastRenderedPageBreak/>
        <w:t>В результаті проведеного дослідження були отримані дані зображенні на</w:t>
      </w:r>
    </w:p>
    <w:p w:rsidR="00B3594B" w:rsidRPr="00B3594B" w:rsidRDefault="00B3594B" w:rsidP="00B3594B">
      <w:pPr>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рисунку 1:</w:t>
      </w:r>
    </w:p>
    <w:p w:rsidR="00B3594B" w:rsidRPr="00B3594B" w:rsidRDefault="00B3594B" w:rsidP="00B3594B">
      <w:pPr>
        <w:pStyle w:val="a3"/>
        <w:ind w:firstLine="567"/>
        <w:jc w:val="center"/>
        <w:rPr>
          <w:noProof/>
          <w:sz w:val="28"/>
          <w:szCs w:val="22"/>
        </w:rPr>
      </w:pPr>
      <w:r w:rsidRPr="00B3594B">
        <w:rPr>
          <w:noProof/>
          <w:sz w:val="28"/>
          <w:lang w:val="ru-RU"/>
        </w:rPr>
        <w:drawing>
          <wp:inline distT="0" distB="0" distL="0" distR="0" wp14:anchorId="719DE7EA" wp14:editId="51D6DE03">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3594B" w:rsidRPr="00B3594B" w:rsidRDefault="00B3594B" w:rsidP="00B3594B">
      <w:pPr>
        <w:pStyle w:val="a3"/>
        <w:ind w:firstLine="567"/>
        <w:jc w:val="center"/>
        <w:rPr>
          <w:noProof/>
          <w:sz w:val="28"/>
          <w:szCs w:val="22"/>
        </w:rPr>
      </w:pPr>
      <w:r w:rsidRPr="00B3594B">
        <w:rPr>
          <w:noProof/>
          <w:sz w:val="28"/>
          <w:szCs w:val="22"/>
        </w:rPr>
        <w:t>Рисунок 1 – Графік несправностей «Богдан-70110»</w:t>
      </w:r>
    </w:p>
    <w:p w:rsidR="00B3594B" w:rsidRPr="00B3594B" w:rsidRDefault="00B3594B" w:rsidP="00B3594B">
      <w:pPr>
        <w:pStyle w:val="a3"/>
        <w:ind w:firstLine="567"/>
        <w:jc w:val="center"/>
        <w:rPr>
          <w:noProof/>
          <w:sz w:val="28"/>
          <w:szCs w:val="22"/>
        </w:rPr>
      </w:pP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 xml:space="preserve">На рисунку 1 зображено відсотковий склад несправностей у відповідності до їх розподілу по головних групах: 1-несправності пов’язанні з двигуном та системами які забезпечують його функціонування складають 16,5%, 2 – несправності трансмісії складають 1,2 % , 3 – несправності підвіски та рульового керування – 41,8 %, 4 – несправності гальмівної системи -25,3%, та 5 – несправності в електронній системі складають 15,1 % від загальної кількості. Наведені дані свідчать про те що найбільш низький рівень надійності має підвіска та рульове керування. </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Тому, існує необхідність в подальших дослідження в даному напрямку для можливості прогнозування зміни технічного стану автобусів великої пасажиромісткості «Богдан-70110» в умовах транспортної мережі міста Вінниці.</w:t>
      </w:r>
    </w:p>
    <w:p w:rsidR="00B3594B" w:rsidRPr="00B3594B" w:rsidRDefault="00B3594B" w:rsidP="00B3594B">
      <w:pPr>
        <w:autoSpaceDE w:val="0"/>
        <w:autoSpaceDN w:val="0"/>
        <w:adjustRightInd w:val="0"/>
        <w:spacing w:after="0" w:line="240" w:lineRule="auto"/>
        <w:ind w:firstLine="567"/>
        <w:jc w:val="center"/>
        <w:rPr>
          <w:rFonts w:ascii="Times New Roman" w:hAnsi="Times New Roman" w:cs="Times New Roman"/>
          <w:noProof/>
          <w:sz w:val="28"/>
          <w:szCs w:val="28"/>
          <w:lang w:val="uk-UA"/>
        </w:rPr>
      </w:pPr>
    </w:p>
    <w:p w:rsidR="00B3594B" w:rsidRPr="004345FC" w:rsidRDefault="00B3594B" w:rsidP="00B3594B">
      <w:pPr>
        <w:autoSpaceDE w:val="0"/>
        <w:autoSpaceDN w:val="0"/>
        <w:adjustRightInd w:val="0"/>
        <w:spacing w:after="0" w:line="240" w:lineRule="auto"/>
        <w:ind w:firstLine="567"/>
        <w:jc w:val="center"/>
        <w:rPr>
          <w:rFonts w:ascii="Times New Roman" w:hAnsi="Times New Roman" w:cs="Times New Roman"/>
          <w:b/>
          <w:bCs/>
          <w:noProof/>
          <w:sz w:val="28"/>
          <w:szCs w:val="28"/>
          <w:lang w:val="uk-UA"/>
        </w:rPr>
      </w:pPr>
      <w:r w:rsidRPr="004345FC">
        <w:rPr>
          <w:rFonts w:ascii="Times New Roman" w:hAnsi="Times New Roman" w:cs="Times New Roman"/>
          <w:b/>
          <w:bCs/>
          <w:noProof/>
          <w:sz w:val="28"/>
          <w:szCs w:val="28"/>
          <w:lang w:val="uk-UA"/>
        </w:rPr>
        <w:t>Список використаної літератури</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1. Солтус А.П. Теория эксплуатационных свойств автомобиля: Учебное пособие для вузов / Солтус А.П. – Кременчук : КГПУ, 2003. – 152 с.</w:t>
      </w:r>
    </w:p>
    <w:p w:rsidR="00B3594B" w:rsidRPr="00B3594B" w:rsidRDefault="00B3594B" w:rsidP="00B3594B">
      <w:pPr>
        <w:autoSpaceDE w:val="0"/>
        <w:autoSpaceDN w:val="0"/>
        <w:adjustRightInd w:val="0"/>
        <w:spacing w:after="0" w:line="240" w:lineRule="auto"/>
        <w:ind w:firstLine="567"/>
        <w:jc w:val="both"/>
        <w:rPr>
          <w:rFonts w:ascii="Times New Roman" w:hAnsi="Times New Roman" w:cs="Times New Roman"/>
          <w:noProof/>
          <w:sz w:val="28"/>
          <w:szCs w:val="28"/>
          <w:lang w:val="uk-UA"/>
        </w:rPr>
      </w:pPr>
      <w:r w:rsidRPr="00B3594B">
        <w:rPr>
          <w:rFonts w:ascii="Times New Roman" w:hAnsi="Times New Roman" w:cs="Times New Roman"/>
          <w:noProof/>
          <w:sz w:val="28"/>
          <w:szCs w:val="28"/>
          <w:lang w:val="uk-UA"/>
        </w:rPr>
        <w:t>2. Лукинский В.С. Прогнозирование надежности автомобилей /Лукинский В.С., Зайцев Е.И. – Л. : Политехника, 1991. – 224 с.</w:t>
      </w:r>
    </w:p>
    <w:sectPr w:rsidR="00B3594B" w:rsidRPr="00B3594B" w:rsidSect="00B359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4B"/>
    <w:rsid w:val="000011E7"/>
    <w:rsid w:val="00036347"/>
    <w:rsid w:val="0003687F"/>
    <w:rsid w:val="00037E5C"/>
    <w:rsid w:val="000408DF"/>
    <w:rsid w:val="00055268"/>
    <w:rsid w:val="00081809"/>
    <w:rsid w:val="00083F46"/>
    <w:rsid w:val="000878C1"/>
    <w:rsid w:val="000E2098"/>
    <w:rsid w:val="000E7480"/>
    <w:rsid w:val="000F2B06"/>
    <w:rsid w:val="0010762B"/>
    <w:rsid w:val="00164B9A"/>
    <w:rsid w:val="001718E5"/>
    <w:rsid w:val="00186816"/>
    <w:rsid w:val="001A634D"/>
    <w:rsid w:val="002038A1"/>
    <w:rsid w:val="0022032A"/>
    <w:rsid w:val="00232ED9"/>
    <w:rsid w:val="0024276A"/>
    <w:rsid w:val="002713C5"/>
    <w:rsid w:val="00282112"/>
    <w:rsid w:val="00285623"/>
    <w:rsid w:val="002D6064"/>
    <w:rsid w:val="00315216"/>
    <w:rsid w:val="00325B7B"/>
    <w:rsid w:val="003B0A70"/>
    <w:rsid w:val="003B7BE1"/>
    <w:rsid w:val="004345FC"/>
    <w:rsid w:val="00443A2A"/>
    <w:rsid w:val="00446D81"/>
    <w:rsid w:val="00485449"/>
    <w:rsid w:val="004A1ED3"/>
    <w:rsid w:val="004A464B"/>
    <w:rsid w:val="004C592B"/>
    <w:rsid w:val="00511989"/>
    <w:rsid w:val="005133D3"/>
    <w:rsid w:val="0052706A"/>
    <w:rsid w:val="00535EB4"/>
    <w:rsid w:val="00557127"/>
    <w:rsid w:val="005853CE"/>
    <w:rsid w:val="005A2E46"/>
    <w:rsid w:val="006262D8"/>
    <w:rsid w:val="00682ADA"/>
    <w:rsid w:val="006E4525"/>
    <w:rsid w:val="006F22C3"/>
    <w:rsid w:val="007348E3"/>
    <w:rsid w:val="00760D0A"/>
    <w:rsid w:val="0079374F"/>
    <w:rsid w:val="007A193E"/>
    <w:rsid w:val="007A34FA"/>
    <w:rsid w:val="007A43F6"/>
    <w:rsid w:val="007E26CC"/>
    <w:rsid w:val="007E553D"/>
    <w:rsid w:val="007E6A70"/>
    <w:rsid w:val="008038D3"/>
    <w:rsid w:val="008101F2"/>
    <w:rsid w:val="00837C30"/>
    <w:rsid w:val="00861D4F"/>
    <w:rsid w:val="008C3B7D"/>
    <w:rsid w:val="008D2B48"/>
    <w:rsid w:val="008D3CFB"/>
    <w:rsid w:val="00905609"/>
    <w:rsid w:val="009058E6"/>
    <w:rsid w:val="00931492"/>
    <w:rsid w:val="00967DB7"/>
    <w:rsid w:val="00976110"/>
    <w:rsid w:val="00977733"/>
    <w:rsid w:val="00982E87"/>
    <w:rsid w:val="009A2B8F"/>
    <w:rsid w:val="009B0041"/>
    <w:rsid w:val="009B446C"/>
    <w:rsid w:val="009C1F92"/>
    <w:rsid w:val="009C4436"/>
    <w:rsid w:val="009D3C20"/>
    <w:rsid w:val="00A00388"/>
    <w:rsid w:val="00A15E71"/>
    <w:rsid w:val="00A265DF"/>
    <w:rsid w:val="00A52EA6"/>
    <w:rsid w:val="00A530A7"/>
    <w:rsid w:val="00AF3D54"/>
    <w:rsid w:val="00B05662"/>
    <w:rsid w:val="00B15137"/>
    <w:rsid w:val="00B3594B"/>
    <w:rsid w:val="00B84ECF"/>
    <w:rsid w:val="00BB462C"/>
    <w:rsid w:val="00BC47CF"/>
    <w:rsid w:val="00BE0B47"/>
    <w:rsid w:val="00C30104"/>
    <w:rsid w:val="00C331D2"/>
    <w:rsid w:val="00C47263"/>
    <w:rsid w:val="00C65349"/>
    <w:rsid w:val="00C75E05"/>
    <w:rsid w:val="00CA3F0B"/>
    <w:rsid w:val="00CB7C86"/>
    <w:rsid w:val="00CC6A9C"/>
    <w:rsid w:val="00CD43CB"/>
    <w:rsid w:val="00CF2E49"/>
    <w:rsid w:val="00CF4C7C"/>
    <w:rsid w:val="00CF7E83"/>
    <w:rsid w:val="00D27F9B"/>
    <w:rsid w:val="00DC4BF7"/>
    <w:rsid w:val="00DF13D0"/>
    <w:rsid w:val="00E45AC7"/>
    <w:rsid w:val="00E527A8"/>
    <w:rsid w:val="00E52E72"/>
    <w:rsid w:val="00E716FD"/>
    <w:rsid w:val="00E877B3"/>
    <w:rsid w:val="00F04621"/>
    <w:rsid w:val="00F23D8A"/>
    <w:rsid w:val="00F55FD3"/>
    <w:rsid w:val="00F624EA"/>
    <w:rsid w:val="00FC09B2"/>
    <w:rsid w:val="00FD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3E92E-438E-444C-81E5-C75E6920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94B"/>
    <w:pPr>
      <w:spacing w:after="0" w:line="240" w:lineRule="auto"/>
    </w:pPr>
    <w:rPr>
      <w:rFonts w:ascii="Times New Roman" w:eastAsia="Times New Roman" w:hAnsi="Times New Roman" w:cs="Times New Roman"/>
      <w:sz w:val="20"/>
      <w:szCs w:val="20"/>
      <w:lang w:val="uk-UA" w:eastAsia="ru-RU"/>
    </w:rPr>
  </w:style>
  <w:style w:type="paragraph" w:styleId="a4">
    <w:name w:val="Balloon Text"/>
    <w:basedOn w:val="a"/>
    <w:link w:val="a5"/>
    <w:uiPriority w:val="99"/>
    <w:semiHidden/>
    <w:unhideWhenUsed/>
    <w:rsid w:val="00B359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5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H:\&#1057;&#1090;&#1072;&#1090;&#1080;&#1089;&#1090;&#1080;&#1082;&#1072;\Exel%20&#1060;&#1059;&#1056;&#1052;&#1059;&#1051;&#1071;&#1056;&#1048;\70110%20&#1042;&#1089;&#1110;%20&#1087;&#1086;&#1083;&#1086;&#1084;&#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Лист1!$K$509:$K$513</c:f>
            </c:numRef>
          </c:val>
        </c:ser>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'[70110 Всі поломки.xlsx]Лист1'!$K$509:$K$513</c:f>
              <c:numCache>
                <c:formatCode>0.0</c:formatCode>
                <c:ptCount val="5"/>
                <c:pt idx="0">
                  <c:v>16.530612244897956</c:v>
                </c:pt>
                <c:pt idx="1">
                  <c:v>1.2244897959183674</c:v>
                </c:pt>
                <c:pt idx="2">
                  <c:v>41.836734693877546</c:v>
                </c:pt>
                <c:pt idx="3">
                  <c:v>25.30612244897959</c:v>
                </c:pt>
                <c:pt idx="4">
                  <c:v>15.102040816326534</c:v>
                </c:pt>
              </c:numCache>
            </c:numRef>
          </c:val>
        </c:ser>
        <c:dLbls>
          <c:showLegendKey val="0"/>
          <c:showVal val="1"/>
          <c:showCatName val="0"/>
          <c:showSerName val="0"/>
          <c:showPercent val="0"/>
          <c:showBubbleSize val="0"/>
        </c:dLbls>
        <c:gapWidth val="150"/>
        <c:axId val="239317168"/>
        <c:axId val="239317952"/>
      </c:barChart>
      <c:catAx>
        <c:axId val="239317168"/>
        <c:scaling>
          <c:orientation val="minMax"/>
        </c:scaling>
        <c:delete val="0"/>
        <c:axPos val="b"/>
        <c:majorTickMark val="out"/>
        <c:minorTickMark val="none"/>
        <c:tickLblPos val="nextTo"/>
        <c:crossAx val="239317952"/>
        <c:crosses val="autoZero"/>
        <c:auto val="1"/>
        <c:lblAlgn val="ctr"/>
        <c:lblOffset val="100"/>
        <c:noMultiLvlLbl val="0"/>
      </c:catAx>
      <c:valAx>
        <c:axId val="239317952"/>
        <c:scaling>
          <c:orientation val="minMax"/>
        </c:scaling>
        <c:delete val="0"/>
        <c:axPos val="l"/>
        <c:majorGridlines/>
        <c:title>
          <c:tx>
            <c:rich>
              <a:bodyPr rot="-5400000" vert="horz"/>
              <a:lstStyle/>
              <a:p>
                <a:pPr>
                  <a:defRPr/>
                </a:pPr>
                <a:r>
                  <a:rPr lang="ru-RU" sz="1200" b="0">
                    <a:latin typeface="Times New Roman" pitchFamily="18" charset="0"/>
                    <a:cs typeface="Times New Roman" pitchFamily="18" charset="0"/>
                  </a:rPr>
                  <a:t>Несправності</a:t>
                </a:r>
                <a:r>
                  <a:rPr lang="ru-RU" sz="1200">
                    <a:latin typeface="Times New Roman" pitchFamily="18" charset="0"/>
                    <a:cs typeface="Times New Roman" pitchFamily="18" charset="0"/>
                  </a:rPr>
                  <a:t>,</a:t>
                </a:r>
                <a:r>
                  <a:rPr lang="ru-RU" sz="1200" b="0">
                    <a:latin typeface="Times New Roman" pitchFamily="18" charset="0"/>
                    <a:cs typeface="Times New Roman" pitchFamily="18" charset="0"/>
                  </a:rPr>
                  <a:t> </a:t>
                </a:r>
                <a:r>
                  <a:rPr lang="ru-RU" sz="1200" b="0"/>
                  <a:t>%</a:t>
                </a:r>
              </a:p>
            </c:rich>
          </c:tx>
          <c:layout/>
          <c:overlay val="0"/>
        </c:title>
        <c:numFmt formatCode="0.0" sourceLinked="1"/>
        <c:majorTickMark val="out"/>
        <c:minorTickMark val="none"/>
        <c:tickLblPos val="nextTo"/>
        <c:crossAx val="239317168"/>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2017-05-31T06:18:00Z</dcterms:created>
  <dcterms:modified xsi:type="dcterms:W3CDTF">2017-06-11T20:44:00Z</dcterms:modified>
</cp:coreProperties>
</file>