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1F30" w:rsidRDefault="00131F30" w:rsidP="00131F30">
      <w:pPr>
        <w:pStyle w:val="3"/>
        <w:spacing w:line="240" w:lineRule="auto"/>
        <w:ind w:firstLine="0"/>
        <w:jc w:val="left"/>
        <w:rPr>
          <w:b w:val="0"/>
        </w:rPr>
      </w:pPr>
      <w:r>
        <w:rPr>
          <w:b w:val="0"/>
        </w:rPr>
        <w:t>УДК 629.</w:t>
      </w:r>
      <w:r w:rsidR="00812D30">
        <w:rPr>
          <w:b w:val="0"/>
        </w:rPr>
        <w:t>3.015</w:t>
      </w:r>
    </w:p>
    <w:p w:rsidR="00131F30" w:rsidRDefault="009D2F1C" w:rsidP="00131F30">
      <w:pPr>
        <w:pStyle w:val="3"/>
        <w:spacing w:before="200" w:after="200" w:line="240" w:lineRule="auto"/>
        <w:ind w:right="0" w:firstLine="0"/>
        <w:jc w:val="center"/>
      </w:pPr>
      <w:r>
        <w:rPr>
          <w:snapToGrid w:val="0"/>
        </w:rPr>
        <w:t>ШУМОВА СКЛАДОВА ВПЛИВУ АВТО</w:t>
      </w:r>
      <w:r w:rsidR="00131F30">
        <w:rPr>
          <w:snapToGrid w:val="0"/>
        </w:rPr>
        <w:t xml:space="preserve">ТРАНСПОРТУ НА </w:t>
      </w:r>
      <w:r>
        <w:rPr>
          <w:snapToGrid w:val="0"/>
        </w:rPr>
        <w:t>ДОВКІЛЛЯ</w:t>
      </w:r>
    </w:p>
    <w:p w:rsidR="00131F30" w:rsidRDefault="00131F30" w:rsidP="00131F30">
      <w:pPr>
        <w:pStyle w:val="3"/>
        <w:spacing w:line="240" w:lineRule="auto"/>
        <w:ind w:firstLine="0"/>
        <w:jc w:val="center"/>
        <w:rPr>
          <w:b w:val="0"/>
        </w:rPr>
      </w:pPr>
      <w:r>
        <w:t>Миронюк Олег</w:t>
      </w:r>
      <w:r>
        <w:rPr>
          <w:b w:val="0"/>
        </w:rPr>
        <w:t xml:space="preserve">, канд. техн. наук, доцент кафедри автомобілів та тракторів, </w:t>
      </w:r>
    </w:p>
    <w:p w:rsidR="00131F30" w:rsidRDefault="00131F30" w:rsidP="00131F30">
      <w:pPr>
        <w:pStyle w:val="3"/>
        <w:spacing w:line="240" w:lineRule="auto"/>
        <w:ind w:firstLine="0"/>
        <w:jc w:val="center"/>
        <w:rPr>
          <w:b w:val="0"/>
        </w:rPr>
      </w:pPr>
      <w:r>
        <w:t>Лесик Іван</w:t>
      </w:r>
      <w:r>
        <w:rPr>
          <w:b w:val="0"/>
        </w:rPr>
        <w:t xml:space="preserve">, студент групи Ат-61, </w:t>
      </w:r>
    </w:p>
    <w:p w:rsidR="00131F30" w:rsidRDefault="00131F30" w:rsidP="00131F30">
      <w:pPr>
        <w:pStyle w:val="3"/>
        <w:spacing w:line="240" w:lineRule="auto"/>
        <w:ind w:firstLine="0"/>
        <w:jc w:val="center"/>
        <w:rPr>
          <w:b w:val="0"/>
        </w:rPr>
      </w:pPr>
      <w:r>
        <w:rPr>
          <w:b w:val="0"/>
        </w:rPr>
        <w:t>Львівський національний аграрний університет, Україна</w:t>
      </w:r>
    </w:p>
    <w:p w:rsidR="00131F30" w:rsidRPr="002478AB" w:rsidRDefault="00131F30" w:rsidP="00131F30">
      <w:pPr>
        <w:autoSpaceDE w:val="0"/>
        <w:autoSpaceDN w:val="0"/>
        <w:adjustRightInd w:val="0"/>
        <w:spacing w:before="120"/>
        <w:ind w:firstLine="567"/>
        <w:jc w:val="both"/>
      </w:pPr>
      <w:r w:rsidRPr="002478AB">
        <w:t>Шумність на вулицях сучасного міста – один з головних чинників, що впливає на екологічну ситуацію. Загальний рівень шуму залежить від числа джерел підвищеного шуму та інтенсивності шуму кожного із них. Невпинний технічний прогрес зумовлює збільшення негативного для людини штучного  шуму, а у випадку великого рівня – небезпечного для здоров’я. У містах, в основному, переважає шум від автомобільного транспорту. Рівень загального (еквівалентного) шуму міськ</w:t>
      </w:r>
      <w:r w:rsidR="002C190A" w:rsidRPr="002478AB">
        <w:t>ого</w:t>
      </w:r>
      <w:r w:rsidRPr="002478AB">
        <w:t xml:space="preserve"> транспорт</w:t>
      </w:r>
      <w:r w:rsidR="002C190A" w:rsidRPr="002478AB">
        <w:t>у</w:t>
      </w:r>
      <w:r w:rsidRPr="002478AB">
        <w:t xml:space="preserve"> може </w:t>
      </w:r>
      <w:r w:rsidR="002C190A" w:rsidRPr="002478AB">
        <w:t>сягати</w:t>
      </w:r>
      <w:r w:rsidRPr="002478AB">
        <w:t xml:space="preserve"> 70–90 </w:t>
      </w:r>
      <w:proofErr w:type="spellStart"/>
      <w:r w:rsidRPr="002478AB">
        <w:rPr>
          <w:lang w:val="ru-RU"/>
        </w:rPr>
        <w:t>дБА</w:t>
      </w:r>
      <w:proofErr w:type="spellEnd"/>
      <w:r w:rsidRPr="002478AB">
        <w:t xml:space="preserve"> із максимумом енергії у спектрі частот 400–</w:t>
      </w:r>
      <w:r w:rsidR="00B47B65" w:rsidRPr="002478AB">
        <w:t xml:space="preserve">800 Гц </w:t>
      </w:r>
      <w:r w:rsidR="00B47B65" w:rsidRPr="002478AB">
        <w:rPr>
          <w:lang w:val="ru-RU"/>
        </w:rPr>
        <w:t>[1].</w:t>
      </w:r>
    </w:p>
    <w:p w:rsidR="00131F30" w:rsidRPr="002478AB" w:rsidRDefault="00131F30" w:rsidP="00131F30">
      <w:pPr>
        <w:autoSpaceDE w:val="0"/>
        <w:autoSpaceDN w:val="0"/>
        <w:adjustRightInd w:val="0"/>
        <w:ind w:firstLine="567"/>
        <w:jc w:val="both"/>
        <w:rPr>
          <w:lang w:val="ru-RU"/>
        </w:rPr>
      </w:pPr>
      <w:r w:rsidRPr="002478AB">
        <w:t xml:space="preserve">Однією з причин збільшення рівня шуму в містах є невпинне зростання інтенсивності руху автотранспорту. </w:t>
      </w:r>
      <w:r w:rsidR="00695A42" w:rsidRPr="002478AB">
        <w:t>Р</w:t>
      </w:r>
      <w:r w:rsidRPr="002478AB">
        <w:t>івень загального шуму в Києві та обласних центрах країни підвищується приблизно на 1 дБ в рік і за останні 10 років зріс на 10-12 дБ</w:t>
      </w:r>
      <w:r w:rsidR="00B47B65" w:rsidRPr="002478AB">
        <w:t xml:space="preserve"> </w:t>
      </w:r>
      <w:r w:rsidR="00B47B65" w:rsidRPr="002478AB">
        <w:rPr>
          <w:lang w:val="ru-RU"/>
        </w:rPr>
        <w:t>[2].</w:t>
      </w:r>
    </w:p>
    <w:p w:rsidR="00131F30" w:rsidRPr="002478AB" w:rsidRDefault="00131F30" w:rsidP="00131F30">
      <w:pPr>
        <w:autoSpaceDE w:val="0"/>
        <w:autoSpaceDN w:val="0"/>
        <w:adjustRightInd w:val="0"/>
        <w:ind w:firstLine="567"/>
        <w:jc w:val="both"/>
      </w:pPr>
      <w:r w:rsidRPr="002478AB">
        <w:t xml:space="preserve">Автомобіль залишається антропогенним чинником. Згідно діючих нормативних документів допустимий рівень зовнішнього шуму автомобіля складає  75–85 </w:t>
      </w:r>
      <w:proofErr w:type="spellStart"/>
      <w:r w:rsidRPr="002478AB">
        <w:rPr>
          <w:lang w:val="ru-RU"/>
        </w:rPr>
        <w:t>дБА</w:t>
      </w:r>
      <w:proofErr w:type="spellEnd"/>
      <w:r w:rsidR="00652F7C" w:rsidRPr="002478AB">
        <w:rPr>
          <w:lang w:val="ru-RU"/>
        </w:rPr>
        <w:t>.</w:t>
      </w:r>
      <w:r w:rsidRPr="002478AB">
        <w:t xml:space="preserve"> З гігієнічної точки зору для комфортної життєдіяльності людини є шум до 40 дБ</w:t>
      </w:r>
      <w:r w:rsidR="00652F7C" w:rsidRPr="002478AB">
        <w:t xml:space="preserve"> [</w:t>
      </w:r>
      <w:r w:rsidR="00B47B65" w:rsidRPr="002478AB">
        <w:t>2</w:t>
      </w:r>
      <w:r w:rsidR="00652F7C" w:rsidRPr="002478AB">
        <w:t>]</w:t>
      </w:r>
      <w:r w:rsidRPr="002478AB">
        <w:t>.</w:t>
      </w:r>
    </w:p>
    <w:p w:rsidR="00131F30" w:rsidRPr="002478AB" w:rsidRDefault="00131F30" w:rsidP="00131F30">
      <w:pPr>
        <w:autoSpaceDE w:val="0"/>
        <w:autoSpaceDN w:val="0"/>
        <w:adjustRightInd w:val="0"/>
        <w:ind w:firstLine="567"/>
        <w:jc w:val="both"/>
      </w:pPr>
      <w:r w:rsidRPr="002478AB">
        <w:t xml:space="preserve">Зменшити шум у місті найдоцільніше, перш за все, зменшенням рівня шуму міського транспорту. Світові тенденції характерні і для міст України через невпинне зростання парку легкових автомобілів, який за прогнозом міністерства інфраструктури України до 2020 року буде в 2 рази більшим, ніж у </w:t>
      </w:r>
      <w:r w:rsidR="002D13FA">
        <w:t>1990</w:t>
      </w:r>
      <w:r w:rsidRPr="002478AB">
        <w:t xml:space="preserve"> році (рис. 1). Тенденція зростання рівня шуму є характерною для вулиць великих міст України. Наприклад</w:t>
      </w:r>
      <w:r w:rsidR="00B47B65" w:rsidRPr="002478AB">
        <w:t xml:space="preserve"> </w:t>
      </w:r>
      <w:r w:rsidR="00B47B65" w:rsidRPr="002478AB">
        <w:rPr>
          <w:lang w:val="ru-RU"/>
        </w:rPr>
        <w:t>[1]</w:t>
      </w:r>
      <w:r w:rsidRPr="002478AB">
        <w:t>, рівень шуму на перехресті вулиц</w:t>
      </w:r>
      <w:r w:rsidR="00695A42" w:rsidRPr="002478AB">
        <w:t>ь</w:t>
      </w:r>
      <w:r w:rsidRPr="002478AB">
        <w:t xml:space="preserve"> </w:t>
      </w:r>
      <w:r w:rsidR="00695A42" w:rsidRPr="002478AB">
        <w:t>Антоновича</w:t>
      </w:r>
      <w:r w:rsidRPr="002478AB">
        <w:t xml:space="preserve"> і  </w:t>
      </w:r>
      <w:r w:rsidR="00695A42" w:rsidRPr="002478AB">
        <w:t>С.Бандери</w:t>
      </w:r>
      <w:r w:rsidRPr="002478AB">
        <w:t xml:space="preserve"> в центрі Львова станови</w:t>
      </w:r>
      <w:r w:rsidR="00695A42" w:rsidRPr="002478AB">
        <w:t>ть</w:t>
      </w:r>
      <w:r w:rsidRPr="002478AB">
        <w:t xml:space="preserve"> </w:t>
      </w:r>
      <w:r w:rsidR="00695A42" w:rsidRPr="002478AB">
        <w:t>72,5</w:t>
      </w:r>
      <w:r w:rsidRPr="002478AB">
        <w:t xml:space="preserve"> дБА, що перевищує </w:t>
      </w:r>
      <w:r w:rsidR="00EE2D92" w:rsidRPr="002478AB">
        <w:t>санітарні вимоги</w:t>
      </w:r>
      <w:r w:rsidR="00B47B65" w:rsidRPr="002478AB">
        <w:t>.</w:t>
      </w:r>
      <w:r w:rsidRPr="002478AB">
        <w:t xml:space="preserve"> Вирішення цієї проблеми можливе на стадії проектування генеральних планів і забудови мікрорайонів, так і шляхом впровадження спеціальних шумозахисних засобів, що здатні поглинати і відбивати шум. Доцільним видається і раціональне регулювання транспортних потоків.</w:t>
      </w:r>
    </w:p>
    <w:p w:rsidR="00EE2D92" w:rsidRPr="002478AB" w:rsidRDefault="00EE2D92" w:rsidP="00EE2D92">
      <w:pPr>
        <w:autoSpaceDE w:val="0"/>
        <w:autoSpaceDN w:val="0"/>
        <w:adjustRightInd w:val="0"/>
        <w:ind w:firstLine="567"/>
        <w:jc w:val="both"/>
      </w:pPr>
      <w:r w:rsidRPr="002478AB">
        <w:t>Важливим чинником, що впливає на зовнішній шум автомобіля є його вік, що опосередковано пов'язаний із технічним станом</w:t>
      </w:r>
      <w:r w:rsidR="00B47B65" w:rsidRPr="002478AB">
        <w:t xml:space="preserve"> </w:t>
      </w:r>
      <w:r w:rsidR="00B47B65" w:rsidRPr="00217FA8">
        <w:t>[3].</w:t>
      </w:r>
      <w:r w:rsidRPr="002478AB">
        <w:t xml:space="preserve"> Як видно з рис. 2 в Україні найвищий показник середнього віку автомобілів, що негативно відбивається на екологічній ситуації у містах та населенних пунктах.</w:t>
      </w:r>
    </w:p>
    <w:p w:rsidR="00EE2D92" w:rsidRPr="002478AB" w:rsidRDefault="00EE2D92" w:rsidP="00EE2D92">
      <w:pPr>
        <w:autoSpaceDE w:val="0"/>
        <w:autoSpaceDN w:val="0"/>
        <w:adjustRightInd w:val="0"/>
        <w:ind w:firstLine="567"/>
        <w:jc w:val="both"/>
      </w:pPr>
      <w:r w:rsidRPr="002478AB">
        <w:t>Основним джерелом шуму є шум від кочення коліс по дорожньому полотну, зменшити який можна, наприклад, заміною бетонного покриття рівним асфальтовим. Примусове зниження швидкості руху автомобілів в населених пунктах також дає позитивний ефект. Знизити шум від транспорту в містах за допомогою традиційних методів достатньо складно і це вимагає суттєвих матеріальних витрат. Більш доступнішим в цьому плані видається контроль і зниження шуму від джерел його виникнення.</w:t>
      </w:r>
    </w:p>
    <w:p w:rsidR="002D13FA" w:rsidRDefault="002D13FA" w:rsidP="00217FA8">
      <w:pPr>
        <w:autoSpaceDE w:val="0"/>
        <w:autoSpaceDN w:val="0"/>
        <w:adjustRightInd w:val="0"/>
        <w:ind w:firstLine="567"/>
        <w:jc w:val="center"/>
        <w:rPr>
          <w:noProof/>
        </w:rPr>
      </w:pPr>
      <w:r>
        <w:rPr>
          <w:noProof/>
        </w:rPr>
        <w:lastRenderedPageBreak/>
        <w:drawing>
          <wp:inline distT="0" distB="0" distL="0" distR="0" wp14:anchorId="7A876805" wp14:editId="37AE8938">
            <wp:extent cx="3867150" cy="2315466"/>
            <wp:effectExtent l="0" t="0" r="0" b="889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131F30" w:rsidRPr="007F3304" w:rsidRDefault="00131F30" w:rsidP="00217FA8">
      <w:pPr>
        <w:autoSpaceDE w:val="0"/>
        <w:autoSpaceDN w:val="0"/>
        <w:adjustRightInd w:val="0"/>
        <w:ind w:firstLine="567"/>
        <w:jc w:val="center"/>
      </w:pPr>
      <w:r>
        <w:t>Рис</w:t>
      </w:r>
      <w:r w:rsidR="00652F7C">
        <w:t>унок</w:t>
      </w:r>
      <w:r w:rsidRPr="007F3304">
        <w:t xml:space="preserve"> 1 </w:t>
      </w:r>
      <w:r w:rsidR="00652F7C">
        <w:t xml:space="preserve">– </w:t>
      </w:r>
      <w:r>
        <w:t xml:space="preserve">Динаміка </w:t>
      </w:r>
      <w:r w:rsidRPr="00666854">
        <w:t xml:space="preserve">зростання парку </w:t>
      </w:r>
      <w:r w:rsidRPr="007F3304">
        <w:t xml:space="preserve">легкових автомобілів </w:t>
      </w:r>
      <w:r>
        <w:t>в Україні</w:t>
      </w:r>
    </w:p>
    <w:p w:rsidR="00131F30" w:rsidRDefault="00131F30" w:rsidP="00652F7C">
      <w:pPr>
        <w:autoSpaceDE w:val="0"/>
        <w:autoSpaceDN w:val="0"/>
        <w:adjustRightInd w:val="0"/>
        <w:ind w:firstLine="567"/>
        <w:jc w:val="center"/>
      </w:pPr>
      <w:r>
        <w:rPr>
          <w:noProof/>
        </w:rPr>
        <w:drawing>
          <wp:inline distT="0" distB="0" distL="0" distR="0" wp14:anchorId="48659044" wp14:editId="7B5C4A94">
            <wp:extent cx="4572000" cy="2743200"/>
            <wp:effectExtent l="0" t="0" r="0" b="0"/>
            <wp:docPr id="1"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131F30" w:rsidRDefault="00131F30" w:rsidP="00EE2D92">
      <w:pPr>
        <w:autoSpaceDE w:val="0"/>
        <w:autoSpaceDN w:val="0"/>
        <w:adjustRightInd w:val="0"/>
        <w:spacing w:after="200"/>
        <w:ind w:firstLine="567"/>
        <w:jc w:val="both"/>
      </w:pPr>
      <w:r>
        <w:t>Рис</w:t>
      </w:r>
      <w:r w:rsidR="00652F7C">
        <w:t>унок</w:t>
      </w:r>
      <w:r>
        <w:t xml:space="preserve"> </w:t>
      </w:r>
      <w:r w:rsidR="00BD7227">
        <w:t>2 –</w:t>
      </w:r>
      <w:r>
        <w:t xml:space="preserve"> Середній вік автомобілів у </w:t>
      </w:r>
      <w:r w:rsidR="00652F7C">
        <w:t>країнах Європи</w:t>
      </w:r>
    </w:p>
    <w:p w:rsidR="00131F30" w:rsidRPr="00BE5E69" w:rsidRDefault="00695A42" w:rsidP="00131F30">
      <w:pPr>
        <w:autoSpaceDE w:val="0"/>
        <w:autoSpaceDN w:val="0"/>
        <w:adjustRightInd w:val="0"/>
        <w:ind w:firstLine="567"/>
        <w:jc w:val="both"/>
        <w:rPr>
          <w:b/>
          <w:bCs/>
        </w:rPr>
      </w:pPr>
      <w:r>
        <w:t>М</w:t>
      </w:r>
      <w:r w:rsidR="00131F30">
        <w:t>ожна стверджувати, що шум залишається однією із найвпливовіших складових екологічної ситуації</w:t>
      </w:r>
      <w:r w:rsidR="001E5856">
        <w:t xml:space="preserve"> в містах.</w:t>
      </w:r>
      <w:r w:rsidR="00131F30">
        <w:t xml:space="preserve"> Шум має негативний вплив на психоемоційний стан людини і тому </w:t>
      </w:r>
      <w:r w:rsidR="00131F30">
        <w:rPr>
          <w:color w:val="008000"/>
        </w:rPr>
        <w:t>є</w:t>
      </w:r>
      <w:r w:rsidR="00131F30">
        <w:t xml:space="preserve"> причиною її передчасної втоми і, як наслідок, зниження продуктивності праці.</w:t>
      </w:r>
      <w:r>
        <w:t xml:space="preserve"> </w:t>
      </w:r>
      <w:r w:rsidR="00131F30">
        <w:t>У боротьбі із шумом найдоцільнішим способом є зниження його рівня безпосередньо в джерелі утворення, в нашому випадку,</w:t>
      </w:r>
      <w:bookmarkStart w:id="0" w:name="_GoBack"/>
      <w:bookmarkEnd w:id="0"/>
      <w:r w:rsidR="00131F30">
        <w:t xml:space="preserve"> рівня шуму, що генерується від автомобілів. </w:t>
      </w:r>
    </w:p>
    <w:p w:rsidR="00DE5BC9" w:rsidRDefault="00EE2D92" w:rsidP="00EE2D92">
      <w:pPr>
        <w:spacing w:before="200"/>
        <w:jc w:val="center"/>
        <w:rPr>
          <w:b/>
        </w:rPr>
      </w:pPr>
      <w:r w:rsidRPr="00B0367F">
        <w:rPr>
          <w:b/>
        </w:rPr>
        <w:t>Список використаної літератури</w:t>
      </w:r>
    </w:p>
    <w:p w:rsidR="00B24CAB" w:rsidRDefault="00B47B65" w:rsidP="00B24CAB">
      <w:pPr>
        <w:ind w:firstLine="567"/>
        <w:jc w:val="both"/>
      </w:pPr>
      <w:r>
        <w:t>1</w:t>
      </w:r>
      <w:r w:rsidR="00B24CAB">
        <w:t>. Качмар Р.Я. Оцінювання екологічних та економічних втрат від шуму транспортних потоків міста Львова / Р.Я. Качмар // Автомобільний транспорт</w:t>
      </w:r>
      <w:r w:rsidR="00AE344C">
        <w:t>: дослідження. – 2013. – №1(231). – С. 10–13.</w:t>
      </w:r>
    </w:p>
    <w:p w:rsidR="00B47B65" w:rsidRDefault="00B47B65" w:rsidP="00B47B65">
      <w:pPr>
        <w:ind w:firstLine="567"/>
        <w:jc w:val="both"/>
      </w:pPr>
      <w:r>
        <w:t>2</w:t>
      </w:r>
      <w:r w:rsidR="00AE344C">
        <w:t>.</w:t>
      </w:r>
      <w:r w:rsidR="00926C1D">
        <w:t xml:space="preserve"> Петренко О. Аналіз вимог чинних нормативно-правових актів щодо допустимих рівнів шуму і вібрації автомобілів / О. Петренко // Вісник НУ «Львівська політехніка». – 2013. – №753. – С. 152–158.</w:t>
      </w:r>
      <w:r w:rsidRPr="00B47B65">
        <w:t xml:space="preserve"> </w:t>
      </w:r>
    </w:p>
    <w:p w:rsidR="00926C1D" w:rsidRDefault="00B47B65" w:rsidP="00B24CAB">
      <w:pPr>
        <w:ind w:firstLine="567"/>
        <w:jc w:val="both"/>
      </w:pPr>
      <w:r>
        <w:t>3. Ярим-Агаєв О.М. Методичний підхід щодо оцінки парку легкових автомобілів України / О.М. Ярим-Агаєв, О.А. Письменний // Наукові праці ДонНТУ: збірник науких праць. – Донецьк: ДонНТУ, 2014. –№4.– С.206–214.</w:t>
      </w:r>
    </w:p>
    <w:sectPr w:rsidR="00926C1D" w:rsidSect="00131F30">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F30"/>
    <w:rsid w:val="00131F30"/>
    <w:rsid w:val="001E5856"/>
    <w:rsid w:val="00217FA8"/>
    <w:rsid w:val="002478AB"/>
    <w:rsid w:val="002C190A"/>
    <w:rsid w:val="002D13FA"/>
    <w:rsid w:val="00652F7C"/>
    <w:rsid w:val="00666854"/>
    <w:rsid w:val="006876CD"/>
    <w:rsid w:val="00695A42"/>
    <w:rsid w:val="00812D30"/>
    <w:rsid w:val="00926C1D"/>
    <w:rsid w:val="009D2F1C"/>
    <w:rsid w:val="00AE344C"/>
    <w:rsid w:val="00B24CAB"/>
    <w:rsid w:val="00B47B65"/>
    <w:rsid w:val="00BD7227"/>
    <w:rsid w:val="00DE5BC9"/>
    <w:rsid w:val="00EE2D9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1F30"/>
    <w:pPr>
      <w:spacing w:after="0" w:line="240" w:lineRule="auto"/>
    </w:pPr>
    <w:rPr>
      <w:rFonts w:ascii="Times New Roman" w:eastAsia="Times New Roman" w:hAnsi="Times New Roman" w:cs="Times New Roman"/>
      <w:sz w:val="28"/>
      <w:szCs w:val="2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31F30"/>
    <w:rPr>
      <w:rFonts w:ascii="Tahoma" w:hAnsi="Tahoma" w:cs="Tahoma"/>
      <w:sz w:val="16"/>
      <w:szCs w:val="16"/>
    </w:rPr>
  </w:style>
  <w:style w:type="character" w:customStyle="1" w:styleId="a4">
    <w:name w:val="Текст выноски Знак"/>
    <w:basedOn w:val="a0"/>
    <w:link w:val="a3"/>
    <w:uiPriority w:val="99"/>
    <w:semiHidden/>
    <w:rsid w:val="00131F30"/>
    <w:rPr>
      <w:rFonts w:ascii="Tahoma" w:eastAsia="Times New Roman" w:hAnsi="Tahoma" w:cs="Tahoma"/>
      <w:sz w:val="16"/>
      <w:szCs w:val="16"/>
      <w:lang w:eastAsia="uk-UA"/>
    </w:rPr>
  </w:style>
  <w:style w:type="paragraph" w:styleId="3">
    <w:name w:val="Body Text Indent 3"/>
    <w:basedOn w:val="a"/>
    <w:link w:val="30"/>
    <w:rsid w:val="00131F30"/>
    <w:pPr>
      <w:spacing w:line="480" w:lineRule="auto"/>
      <w:ind w:right="-1" w:firstLine="851"/>
      <w:jc w:val="both"/>
    </w:pPr>
    <w:rPr>
      <w:b/>
      <w:szCs w:val="20"/>
      <w:lang w:eastAsia="ru-RU"/>
    </w:rPr>
  </w:style>
  <w:style w:type="character" w:customStyle="1" w:styleId="30">
    <w:name w:val="Основной текст с отступом 3 Знак"/>
    <w:basedOn w:val="a0"/>
    <w:link w:val="3"/>
    <w:rsid w:val="00131F30"/>
    <w:rPr>
      <w:rFonts w:ascii="Times New Roman" w:eastAsia="Times New Roman" w:hAnsi="Times New Roman" w:cs="Times New Roman"/>
      <w:b/>
      <w:sz w:val="28"/>
      <w:szCs w:val="20"/>
      <w:lang w:eastAsia="ru-RU"/>
    </w:rPr>
  </w:style>
  <w:style w:type="paragraph" w:styleId="a5">
    <w:name w:val="List Paragraph"/>
    <w:basedOn w:val="a"/>
    <w:uiPriority w:val="34"/>
    <w:qFormat/>
    <w:rsid w:val="00B24CA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1F30"/>
    <w:pPr>
      <w:spacing w:after="0" w:line="240" w:lineRule="auto"/>
    </w:pPr>
    <w:rPr>
      <w:rFonts w:ascii="Times New Roman" w:eastAsia="Times New Roman" w:hAnsi="Times New Roman" w:cs="Times New Roman"/>
      <w:sz w:val="28"/>
      <w:szCs w:val="2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31F30"/>
    <w:rPr>
      <w:rFonts w:ascii="Tahoma" w:hAnsi="Tahoma" w:cs="Tahoma"/>
      <w:sz w:val="16"/>
      <w:szCs w:val="16"/>
    </w:rPr>
  </w:style>
  <w:style w:type="character" w:customStyle="1" w:styleId="a4">
    <w:name w:val="Текст выноски Знак"/>
    <w:basedOn w:val="a0"/>
    <w:link w:val="a3"/>
    <w:uiPriority w:val="99"/>
    <w:semiHidden/>
    <w:rsid w:val="00131F30"/>
    <w:rPr>
      <w:rFonts w:ascii="Tahoma" w:eastAsia="Times New Roman" w:hAnsi="Tahoma" w:cs="Tahoma"/>
      <w:sz w:val="16"/>
      <w:szCs w:val="16"/>
      <w:lang w:eastAsia="uk-UA"/>
    </w:rPr>
  </w:style>
  <w:style w:type="paragraph" w:styleId="3">
    <w:name w:val="Body Text Indent 3"/>
    <w:basedOn w:val="a"/>
    <w:link w:val="30"/>
    <w:rsid w:val="00131F30"/>
    <w:pPr>
      <w:spacing w:line="480" w:lineRule="auto"/>
      <w:ind w:right="-1" w:firstLine="851"/>
      <w:jc w:val="both"/>
    </w:pPr>
    <w:rPr>
      <w:b/>
      <w:szCs w:val="20"/>
      <w:lang w:eastAsia="ru-RU"/>
    </w:rPr>
  </w:style>
  <w:style w:type="character" w:customStyle="1" w:styleId="30">
    <w:name w:val="Основной текст с отступом 3 Знак"/>
    <w:basedOn w:val="a0"/>
    <w:link w:val="3"/>
    <w:rsid w:val="00131F30"/>
    <w:rPr>
      <w:rFonts w:ascii="Times New Roman" w:eastAsia="Times New Roman" w:hAnsi="Times New Roman" w:cs="Times New Roman"/>
      <w:b/>
      <w:sz w:val="28"/>
      <w:szCs w:val="20"/>
      <w:lang w:eastAsia="ru-RU"/>
    </w:rPr>
  </w:style>
  <w:style w:type="paragraph" w:styleId="a5">
    <w:name w:val="List Paragraph"/>
    <w:basedOn w:val="a"/>
    <w:uiPriority w:val="34"/>
    <w:qFormat/>
    <w:rsid w:val="00B24C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chart" Target="charts/chart2.xml"/><Relationship Id="rId5" Type="http://schemas.openxmlformats.org/officeDocument/2006/relationships/chart" Target="charts/chart1.xml"/><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2" Type="http://schemas.openxmlformats.org/officeDocument/2006/relationships/oleObject" Target="&#1050;&#1085;&#1080;&#1075;&#1072;1"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invertIfNegative val="0"/>
          <c:cat>
            <c:numRef>
              <c:f>Лист1!$A$1:$A$6</c:f>
              <c:numCache>
                <c:formatCode>General</c:formatCode>
                <c:ptCount val="6"/>
                <c:pt idx="0">
                  <c:v>1990</c:v>
                </c:pt>
                <c:pt idx="1">
                  <c:v>1995</c:v>
                </c:pt>
                <c:pt idx="2">
                  <c:v>2000</c:v>
                </c:pt>
                <c:pt idx="3">
                  <c:v>2005</c:v>
                </c:pt>
                <c:pt idx="4">
                  <c:v>2010</c:v>
                </c:pt>
                <c:pt idx="5">
                  <c:v>2015</c:v>
                </c:pt>
              </c:numCache>
            </c:numRef>
          </c:cat>
          <c:val>
            <c:numRef>
              <c:f>Лист1!$B$1:$B$6</c:f>
              <c:numCache>
                <c:formatCode>General</c:formatCode>
                <c:ptCount val="6"/>
                <c:pt idx="0">
                  <c:v>3200</c:v>
                </c:pt>
                <c:pt idx="1">
                  <c:v>4300</c:v>
                </c:pt>
                <c:pt idx="2">
                  <c:v>5100</c:v>
                </c:pt>
                <c:pt idx="3">
                  <c:v>5200</c:v>
                </c:pt>
                <c:pt idx="4">
                  <c:v>6400</c:v>
                </c:pt>
                <c:pt idx="5">
                  <c:v>6600</c:v>
                </c:pt>
              </c:numCache>
            </c:numRef>
          </c:val>
        </c:ser>
        <c:dLbls>
          <c:showLegendKey val="0"/>
          <c:showVal val="0"/>
          <c:showCatName val="0"/>
          <c:showSerName val="0"/>
          <c:showPercent val="0"/>
          <c:showBubbleSize val="0"/>
        </c:dLbls>
        <c:gapWidth val="150"/>
        <c:axId val="126350080"/>
        <c:axId val="126351616"/>
      </c:barChart>
      <c:catAx>
        <c:axId val="126350080"/>
        <c:scaling>
          <c:orientation val="minMax"/>
        </c:scaling>
        <c:delete val="0"/>
        <c:axPos val="b"/>
        <c:numFmt formatCode="General" sourceLinked="1"/>
        <c:majorTickMark val="out"/>
        <c:minorTickMark val="none"/>
        <c:tickLblPos val="nextTo"/>
        <c:crossAx val="126351616"/>
        <c:crosses val="autoZero"/>
        <c:auto val="1"/>
        <c:lblAlgn val="ctr"/>
        <c:lblOffset val="100"/>
        <c:noMultiLvlLbl val="0"/>
      </c:catAx>
      <c:valAx>
        <c:axId val="126351616"/>
        <c:scaling>
          <c:orientation val="minMax"/>
        </c:scaling>
        <c:delete val="0"/>
        <c:axPos val="l"/>
        <c:majorGridlines/>
        <c:title>
          <c:tx>
            <c:rich>
              <a:bodyPr rot="-5400000" vert="horz"/>
              <a:lstStyle/>
              <a:p>
                <a:pPr>
                  <a:defRPr/>
                </a:pPr>
                <a:r>
                  <a:rPr lang="uk-UA"/>
                  <a:t>Чисельність парку легкових автомобілів, тис. шт.</a:t>
                </a:r>
              </a:p>
            </c:rich>
          </c:tx>
          <c:layout/>
          <c:overlay val="0"/>
        </c:title>
        <c:numFmt formatCode="General" sourceLinked="1"/>
        <c:majorTickMark val="out"/>
        <c:minorTickMark val="none"/>
        <c:tickLblPos val="nextTo"/>
        <c:crossAx val="126350080"/>
        <c:crosses val="autoZero"/>
        <c:crossBetween val="between"/>
      </c:valAx>
    </c:plotArea>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6479396325459317"/>
          <c:y val="6.5289442986293383E-2"/>
          <c:w val="0.80465048118985127"/>
          <c:h val="0.62700386410032083"/>
        </c:manualLayout>
      </c:layout>
      <c:barChart>
        <c:barDir val="col"/>
        <c:grouping val="clustered"/>
        <c:varyColors val="0"/>
        <c:ser>
          <c:idx val="0"/>
          <c:order val="0"/>
          <c:invertIfNegative val="0"/>
          <c:cat>
            <c:strRef>
              <c:f>Лист1!$A$1:$A$15</c:f>
              <c:strCache>
                <c:ptCount val="15"/>
                <c:pt idx="0">
                  <c:v>Україна</c:v>
                </c:pt>
                <c:pt idx="1">
                  <c:v>Латвія</c:v>
                </c:pt>
                <c:pt idx="2">
                  <c:v>Росія</c:v>
                </c:pt>
                <c:pt idx="3">
                  <c:v>Словакія</c:v>
                </c:pt>
                <c:pt idx="4">
                  <c:v>Фінляндія</c:v>
                </c:pt>
                <c:pt idx="5">
                  <c:v>Естонія</c:v>
                </c:pt>
                <c:pt idx="6">
                  <c:v>Греція</c:v>
                </c:pt>
                <c:pt idx="7">
                  <c:v>Швеція</c:v>
                </c:pt>
                <c:pt idx="8">
                  <c:v>Португалія</c:v>
                </c:pt>
                <c:pt idx="9">
                  <c:v>Франція</c:v>
                </c:pt>
                <c:pt idx="10">
                  <c:v>Німеччина</c:v>
                </c:pt>
                <c:pt idx="11">
                  <c:v>ЄС</c:v>
                </c:pt>
                <c:pt idx="12">
                  <c:v>Бельгія</c:v>
                </c:pt>
                <c:pt idx="13">
                  <c:v>Австрія</c:v>
                </c:pt>
                <c:pt idx="14">
                  <c:v>Великобританія</c:v>
                </c:pt>
              </c:strCache>
            </c:strRef>
          </c:cat>
          <c:val>
            <c:numRef>
              <c:f>Лист1!$B$1:$B$15</c:f>
              <c:numCache>
                <c:formatCode>General</c:formatCode>
                <c:ptCount val="15"/>
                <c:pt idx="0">
                  <c:v>19.399999999999999</c:v>
                </c:pt>
                <c:pt idx="1">
                  <c:v>16.899999999999999</c:v>
                </c:pt>
                <c:pt idx="2">
                  <c:v>13.5</c:v>
                </c:pt>
                <c:pt idx="3">
                  <c:v>12.6</c:v>
                </c:pt>
                <c:pt idx="4">
                  <c:v>12</c:v>
                </c:pt>
                <c:pt idx="5">
                  <c:v>12</c:v>
                </c:pt>
                <c:pt idx="6">
                  <c:v>11.5</c:v>
                </c:pt>
                <c:pt idx="7">
                  <c:v>10.5</c:v>
                </c:pt>
                <c:pt idx="8">
                  <c:v>10</c:v>
                </c:pt>
                <c:pt idx="9">
                  <c:v>9.3000000000000007</c:v>
                </c:pt>
                <c:pt idx="10">
                  <c:v>9.1999999999999993</c:v>
                </c:pt>
                <c:pt idx="11">
                  <c:v>9.1999999999999993</c:v>
                </c:pt>
                <c:pt idx="12">
                  <c:v>8.9</c:v>
                </c:pt>
                <c:pt idx="13">
                  <c:v>8.6999999999999993</c:v>
                </c:pt>
                <c:pt idx="14">
                  <c:v>7.6</c:v>
                </c:pt>
              </c:numCache>
            </c:numRef>
          </c:val>
        </c:ser>
        <c:dLbls>
          <c:dLblPos val="outEnd"/>
          <c:showLegendKey val="0"/>
          <c:showVal val="1"/>
          <c:showCatName val="0"/>
          <c:showSerName val="0"/>
          <c:showPercent val="0"/>
          <c:showBubbleSize val="0"/>
        </c:dLbls>
        <c:gapWidth val="150"/>
        <c:axId val="127949824"/>
        <c:axId val="127955712"/>
      </c:barChart>
      <c:catAx>
        <c:axId val="127949824"/>
        <c:scaling>
          <c:orientation val="minMax"/>
        </c:scaling>
        <c:delete val="0"/>
        <c:axPos val="b"/>
        <c:numFmt formatCode="General" sourceLinked="1"/>
        <c:majorTickMark val="out"/>
        <c:minorTickMark val="none"/>
        <c:tickLblPos val="nextTo"/>
        <c:crossAx val="127955712"/>
        <c:crosses val="autoZero"/>
        <c:auto val="1"/>
        <c:lblAlgn val="ctr"/>
        <c:lblOffset val="100"/>
        <c:noMultiLvlLbl val="0"/>
      </c:catAx>
      <c:valAx>
        <c:axId val="127955712"/>
        <c:scaling>
          <c:orientation val="minMax"/>
        </c:scaling>
        <c:delete val="0"/>
        <c:axPos val="l"/>
        <c:majorGridlines/>
        <c:title>
          <c:tx>
            <c:rich>
              <a:bodyPr rot="-5400000" vert="horz"/>
              <a:lstStyle/>
              <a:p>
                <a:pPr>
                  <a:defRPr/>
                </a:pPr>
                <a:r>
                  <a:rPr lang="uk-UA" baseline="0"/>
                  <a:t>Середній вік, роки</a:t>
                </a:r>
                <a:endParaRPr lang="uk-UA"/>
              </a:p>
            </c:rich>
          </c:tx>
          <c:layout/>
          <c:overlay val="0"/>
        </c:title>
        <c:numFmt formatCode="General" sourceLinked="1"/>
        <c:majorTickMark val="out"/>
        <c:minorTickMark val="none"/>
        <c:tickLblPos val="nextTo"/>
        <c:crossAx val="127949824"/>
        <c:crosses val="autoZero"/>
        <c:crossBetween val="between"/>
      </c:valAx>
    </c:plotArea>
    <c:plotVisOnly val="1"/>
    <c:dispBlanksAs val="gap"/>
    <c:showDLblsOverMax val="0"/>
  </c:chart>
  <c:spPr>
    <a:ln>
      <a:noFill/>
    </a:ln>
  </c:sp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150</TotalTime>
  <Pages>2</Pages>
  <Words>2514</Words>
  <Characters>1434</Characters>
  <Application>Microsoft Office Word</Application>
  <DocSecurity>0</DocSecurity>
  <Lines>11</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dc:creator>
  <cp:keywords/>
  <dc:description/>
  <cp:lastModifiedBy>4</cp:lastModifiedBy>
  <cp:revision>12</cp:revision>
  <dcterms:created xsi:type="dcterms:W3CDTF">2017-03-22T08:34:00Z</dcterms:created>
  <dcterms:modified xsi:type="dcterms:W3CDTF">2017-03-27T07:11:00Z</dcterms:modified>
</cp:coreProperties>
</file>